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Программная инженерия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«Программная инженерия»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«Программная инженерия».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«Программная инженерия»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«Программная инженерия»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Стандарты информационного взаимодействия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Программная инженерия,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программной инженерии, ее место в инженерной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 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качества ПО (четырехуровневая модель). Метрики качества программного обеспечения. Управление качеством ПС.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Марковские и пуассоновские модели надежности.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взаимодействие и изменение программ и данных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Интерфейсы,  виды интерфейсов.</w:t>
            </w:r>
          </w:p>
          <w:p>
            <w:pPr>
              <w:jc w:val="both"/>
              <w:spacing w:after="0" w:line="240" w:lineRule="auto"/>
              <w:rPr>
                <w:sz w:val="24"/>
                <w:szCs w:val="24"/>
              </w:rPr>
            </w:pPr>
            <w:r>
              <w:rPr>
                <w:rFonts w:ascii="Times New Roman" w:hAnsi="Times New Roman" w:cs="Times New Roman"/>
                <w:color w:val="#000000"/>
                <w:sz w:val="24"/>
                <w:szCs w:val="24"/>
              </w:rPr>
              <w:t> 2.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3.	 Основы интеграции и преобразования разноязыковых программ и данных;</w:t>
            </w:r>
          </w:p>
          <w:p>
            <w:pPr>
              <w:jc w:val="both"/>
              <w:spacing w:after="0" w:line="240" w:lineRule="auto"/>
              <w:rPr>
                <w:sz w:val="24"/>
                <w:szCs w:val="24"/>
              </w:rPr>
            </w:pPr>
            <w:r>
              <w:rPr>
                <w:rFonts w:ascii="Times New Roman" w:hAnsi="Times New Roman" w:cs="Times New Roman"/>
                <w:color w:val="#000000"/>
                <w:sz w:val="24"/>
                <w:szCs w:val="24"/>
              </w:rPr>
              <w:t> 4.	 Методы изменения (реинжениринг, рефакторинг) компонентов и систем;</w:t>
            </w:r>
          </w:p>
          <w:p>
            <w:pPr>
              <w:jc w:val="both"/>
              <w:spacing w:after="0" w:line="240" w:lineRule="auto"/>
              <w:rPr>
                <w:sz w:val="24"/>
                <w:szCs w:val="24"/>
              </w:rPr>
            </w:pPr>
            <w:r>
              <w:rPr>
                <w:rFonts w:ascii="Times New Roman" w:hAnsi="Times New Roman" w:cs="Times New Roman"/>
                <w:color w:val="#000000"/>
                <w:sz w:val="24"/>
                <w:szCs w:val="24"/>
              </w:rPr>
              <w:t> 5.	Принципы взаимодействия неоднородных компонентов в современных промежуточных средах.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проектирования программных продуктов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UML (англ. Unified Modeling Language — унифицированный язык моделирования) — язык графического описания для объектного моделирования в области разработки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Возможности  языка UML для построения статических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2.	Возможности  языка UML для построения динамических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3.	Механизмы расширения UML.</w:t>
            </w:r>
          </w:p>
          <w:p>
            <w:pPr>
              <w:jc w:val="both"/>
              <w:spacing w:after="0" w:line="240" w:lineRule="auto"/>
              <w:rPr>
                <w:sz w:val="24"/>
                <w:szCs w:val="24"/>
              </w:rPr>
            </w:pPr>
            <w:r>
              <w:rPr>
                <w:rFonts w:ascii="Times New Roman" w:hAnsi="Times New Roman" w:cs="Times New Roman"/>
                <w:color w:val="#000000"/>
                <w:sz w:val="24"/>
                <w:szCs w:val="24"/>
              </w:rPr>
              <w:t> 4.	Использование UML для проектирования информационных систем, основные ви-ды.</w:t>
            </w:r>
          </w:p>
          <w:p>
            <w:pPr>
              <w:jc w:val="both"/>
              <w:spacing w:after="0" w:line="240" w:lineRule="auto"/>
              <w:rPr>
                <w:sz w:val="24"/>
                <w:szCs w:val="24"/>
              </w:rPr>
            </w:pPr>
            <w:r>
              <w:rPr>
                <w:rFonts w:ascii="Times New Roman" w:hAnsi="Times New Roman" w:cs="Times New Roman"/>
                <w:color w:val="#000000"/>
                <w:sz w:val="24"/>
                <w:szCs w:val="24"/>
              </w:rPr>
              <w:t> 5.	Различные средства моделирования  и проектирования программных систем, ори- ентированные на использование языка UML.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Модель качества ПО (четырехуровневая модель)</w:t>
            </w:r>
          </w:p>
          <w:p>
            <w:pPr>
              <w:jc w:val="both"/>
              <w:spacing w:after="0" w:line="240" w:lineRule="auto"/>
              <w:rPr>
                <w:sz w:val="24"/>
                <w:szCs w:val="24"/>
              </w:rPr>
            </w:pPr>
            <w:r>
              <w:rPr>
                <w:rFonts w:ascii="Times New Roman" w:hAnsi="Times New Roman" w:cs="Times New Roman"/>
                <w:color w:val="#000000"/>
                <w:sz w:val="24"/>
                <w:szCs w:val="24"/>
              </w:rPr>
              <w:t> 2.	Метрики качества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Управление качеством ПС</w:t>
            </w:r>
          </w:p>
          <w:p>
            <w:pPr>
              <w:jc w:val="both"/>
              <w:spacing w:after="0" w:line="240" w:lineRule="auto"/>
              <w:rPr>
                <w:sz w:val="24"/>
                <w:szCs w:val="24"/>
              </w:rPr>
            </w:pPr>
            <w:r>
              <w:rPr>
                <w:rFonts w:ascii="Times New Roman" w:hAnsi="Times New Roman" w:cs="Times New Roman"/>
                <w:color w:val="#000000"/>
                <w:sz w:val="24"/>
                <w:szCs w:val="24"/>
              </w:rPr>
              <w:t> 4.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5.	Марковские и пуассоновские модели надежности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«Программная инженерия»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http://www.iprbookshop.ru/52146.html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Налютин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http://www.iprbookshop.ru/69425.html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9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2024-2025_ФГОС3++2024_Бак-ЗФО-ПИ(24)_plx_Программная инженерия_11111111</dc:title>
  <dc:creator>FastReport.NET</dc:creator>
</cp:coreProperties>
</file>